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560E" w14:textId="01D4DDE5" w:rsidR="001F546D" w:rsidRPr="00BB6688" w:rsidRDefault="00F8520F" w:rsidP="0016458C">
      <w:pPr>
        <w:spacing w:before="160"/>
        <w:jc w:val="center"/>
        <w:rPr>
          <w:rFonts w:ascii="Arial" w:eastAsia="Proxima Nova" w:hAnsi="Arial" w:cs="Arial"/>
          <w:b/>
          <w:color w:val="1F4E79"/>
          <w:sz w:val="28"/>
          <w:szCs w:val="28"/>
        </w:rPr>
      </w:pPr>
      <w:bookmarkStart w:id="0" w:name="_Hlk122413281"/>
      <w:bookmarkStart w:id="1" w:name="_GoBack"/>
      <w:r w:rsidRPr="00BB6688">
        <w:rPr>
          <w:rFonts w:ascii="Arial" w:eastAsia="Proxima Nova" w:hAnsi="Arial" w:cs="Arial"/>
          <w:b/>
          <w:color w:val="1F4E79"/>
          <w:sz w:val="28"/>
          <w:szCs w:val="28"/>
        </w:rPr>
        <w:t xml:space="preserve">Россияне стали реже увольняться по собственному желанию и меньше нарушать трудовую дисциплину </w:t>
      </w:r>
    </w:p>
    <w:p w14:paraId="3F921151" w14:textId="01BBAC32" w:rsidR="00F8520F" w:rsidRPr="00BB6688" w:rsidRDefault="00BB6688" w:rsidP="006C4C8A">
      <w:pPr>
        <w:spacing w:before="160"/>
        <w:jc w:val="both"/>
        <w:rPr>
          <w:rFonts w:ascii="Arial" w:eastAsia="Proxima Nova" w:hAnsi="Arial" w:cs="Arial"/>
          <w:bCs/>
          <w:i/>
          <w:iCs/>
        </w:rPr>
      </w:pPr>
      <w:r w:rsidRPr="00BB6688">
        <w:rPr>
          <w:rFonts w:ascii="Arial" w:eastAsia="Proxima Nova" w:hAnsi="Arial" w:cs="Arial"/>
          <w:b/>
        </w:rPr>
        <w:t xml:space="preserve">20 </w:t>
      </w:r>
      <w:r>
        <w:rPr>
          <w:rFonts w:ascii="Arial" w:eastAsia="Proxima Nova" w:hAnsi="Arial" w:cs="Arial"/>
          <w:b/>
        </w:rPr>
        <w:t xml:space="preserve">декабря </w:t>
      </w:r>
      <w:r w:rsidR="0097228E" w:rsidRPr="00BB6688">
        <w:rPr>
          <w:rFonts w:ascii="Arial" w:eastAsia="Proxima Nova" w:hAnsi="Arial" w:cs="Arial"/>
          <w:b/>
        </w:rPr>
        <w:t>2022 год</w:t>
      </w:r>
      <w:r w:rsidR="00AD098E">
        <w:rPr>
          <w:rFonts w:ascii="Arial" w:eastAsia="Proxima Nova" w:hAnsi="Arial" w:cs="Arial"/>
          <w:b/>
        </w:rPr>
        <w:t xml:space="preserve">. </w:t>
      </w:r>
      <w:r w:rsidR="00AD098E" w:rsidRPr="00FF4404">
        <w:rPr>
          <w:rFonts w:ascii="Arial" w:eastAsia="Proxima Nova" w:hAnsi="Arial" w:cs="Arial"/>
          <w:i/>
        </w:rPr>
        <w:t xml:space="preserve">Служба исследований </w:t>
      </w:r>
      <w:r w:rsidR="00AD098E" w:rsidRPr="00FF4404">
        <w:rPr>
          <w:rFonts w:ascii="Arial" w:eastAsia="Proxima Nova" w:hAnsi="Arial" w:cs="Arial"/>
          <w:i/>
          <w:lang w:val="en-US"/>
        </w:rPr>
        <w:t>hh</w:t>
      </w:r>
      <w:r w:rsidR="00AD098E" w:rsidRPr="00FF4404">
        <w:rPr>
          <w:rFonts w:ascii="Arial" w:eastAsia="Proxima Nova" w:hAnsi="Arial" w:cs="Arial"/>
          <w:i/>
        </w:rPr>
        <w:t>.</w:t>
      </w:r>
      <w:r w:rsidR="00AD098E" w:rsidRPr="00FF4404">
        <w:rPr>
          <w:rFonts w:ascii="Arial" w:eastAsia="Proxima Nova" w:hAnsi="Arial" w:cs="Arial"/>
          <w:i/>
          <w:lang w:val="en-US"/>
        </w:rPr>
        <w:t>ru</w:t>
      </w:r>
      <w:r w:rsidR="00AD098E" w:rsidRPr="00FF4404">
        <w:rPr>
          <w:rFonts w:ascii="Arial" w:eastAsia="Proxima Nova" w:hAnsi="Arial" w:cs="Arial"/>
          <w:i/>
        </w:rPr>
        <w:t xml:space="preserve"> провела м</w:t>
      </w:r>
      <w:r w:rsidR="00F8520F" w:rsidRPr="00FF4404">
        <w:rPr>
          <w:rFonts w:ascii="Arial" w:eastAsia="Proxima Nova" w:hAnsi="Arial" w:cs="Arial"/>
          <w:bCs/>
          <w:i/>
          <w:iCs/>
        </w:rPr>
        <w:t>асштабный</w:t>
      </w:r>
      <w:r w:rsidR="00F8520F" w:rsidRPr="00BB6688">
        <w:rPr>
          <w:rFonts w:ascii="Arial" w:eastAsia="Proxima Nova" w:hAnsi="Arial" w:cs="Arial"/>
          <w:bCs/>
          <w:i/>
          <w:iCs/>
        </w:rPr>
        <w:t xml:space="preserve"> опрос </w:t>
      </w:r>
      <w:r w:rsidR="00FF4404">
        <w:rPr>
          <w:rFonts w:ascii="Arial" w:eastAsia="Proxima Nova" w:hAnsi="Arial" w:cs="Arial"/>
          <w:bCs/>
          <w:i/>
          <w:iCs/>
        </w:rPr>
        <w:t>соискателей</w:t>
      </w:r>
      <w:r w:rsidR="00AD098E">
        <w:rPr>
          <w:rFonts w:ascii="Arial" w:eastAsia="Proxima Nova" w:hAnsi="Arial" w:cs="Arial"/>
          <w:bCs/>
          <w:i/>
          <w:iCs/>
        </w:rPr>
        <w:t xml:space="preserve">, чтобы выяснить </w:t>
      </w:r>
      <w:r w:rsidR="00FF4404">
        <w:rPr>
          <w:rFonts w:ascii="Arial" w:eastAsia="Proxima Nova" w:hAnsi="Arial" w:cs="Arial"/>
          <w:bCs/>
          <w:i/>
          <w:iCs/>
        </w:rPr>
        <w:t xml:space="preserve">как изменились причины увольнений сотрудников российских компаний в конце года. </w:t>
      </w:r>
    </w:p>
    <w:p w14:paraId="2A6CEFB2" w14:textId="3EAA754E" w:rsidR="0016458C" w:rsidRPr="00BB6688" w:rsidRDefault="00AD4AEF" w:rsidP="000178E5">
      <w:pPr>
        <w:spacing w:after="0" w:line="240" w:lineRule="auto"/>
        <w:jc w:val="both"/>
        <w:rPr>
          <w:rFonts w:ascii="Arial" w:eastAsia="Proxima Nova" w:hAnsi="Arial" w:cs="Arial"/>
          <w:bCs/>
          <w:iCs/>
        </w:rPr>
      </w:pPr>
      <w:r>
        <w:rPr>
          <w:rFonts w:ascii="Arial" w:eastAsia="Proxima Nova" w:hAnsi="Arial" w:cs="Arial"/>
          <w:bCs/>
          <w:iCs/>
        </w:rPr>
        <w:t>Данные опроса</w:t>
      </w:r>
      <w:r w:rsidR="00350374" w:rsidRPr="00BB6688">
        <w:rPr>
          <w:rFonts w:ascii="Arial" w:eastAsia="Proxima Nova" w:hAnsi="Arial" w:cs="Arial"/>
          <w:bCs/>
          <w:iCs/>
        </w:rPr>
        <w:t>, проведенно</w:t>
      </w:r>
      <w:r>
        <w:rPr>
          <w:rFonts w:ascii="Arial" w:eastAsia="Proxima Nova" w:hAnsi="Arial" w:cs="Arial"/>
          <w:bCs/>
          <w:iCs/>
        </w:rPr>
        <w:t>го</w:t>
      </w:r>
      <w:r w:rsidR="00350374" w:rsidRPr="00BB6688">
        <w:rPr>
          <w:rFonts w:ascii="Arial" w:eastAsia="Proxima Nova" w:hAnsi="Arial" w:cs="Arial"/>
          <w:bCs/>
          <w:iCs/>
        </w:rPr>
        <w:t xml:space="preserve"> службой исследований </w:t>
      </w:r>
      <w:r w:rsidR="00350374" w:rsidRPr="00BB6688">
        <w:rPr>
          <w:rFonts w:ascii="Arial" w:eastAsia="Proxima Nova" w:hAnsi="Arial" w:cs="Arial"/>
          <w:bCs/>
          <w:iCs/>
          <w:lang w:val="en-US"/>
        </w:rPr>
        <w:t>hh</w:t>
      </w:r>
      <w:r w:rsidR="00350374" w:rsidRPr="00BB6688">
        <w:rPr>
          <w:rFonts w:ascii="Arial" w:eastAsia="Proxima Nova" w:hAnsi="Arial" w:cs="Arial"/>
          <w:bCs/>
          <w:iCs/>
        </w:rPr>
        <w:t>.</w:t>
      </w:r>
      <w:r w:rsidR="00350374" w:rsidRPr="00BB6688">
        <w:rPr>
          <w:rFonts w:ascii="Arial" w:eastAsia="Proxima Nova" w:hAnsi="Arial" w:cs="Arial"/>
          <w:bCs/>
          <w:iCs/>
          <w:lang w:val="en-US"/>
        </w:rPr>
        <w:t>ru</w:t>
      </w:r>
      <w:r w:rsidR="00350374" w:rsidRPr="00BB6688">
        <w:rPr>
          <w:rFonts w:ascii="Arial" w:eastAsia="Proxima Nova" w:hAnsi="Arial" w:cs="Arial"/>
          <w:bCs/>
          <w:iCs/>
        </w:rPr>
        <w:t xml:space="preserve"> по итогам четвёртого квартала 2022 года, показало, что доля россиян, увольняющихся с работы по собственному желанию </w:t>
      </w:r>
      <w:r w:rsidR="00DC63BC" w:rsidRPr="00BB6688">
        <w:rPr>
          <w:rFonts w:ascii="Arial" w:eastAsia="Proxima Nova" w:hAnsi="Arial" w:cs="Arial"/>
          <w:bCs/>
          <w:iCs/>
        </w:rPr>
        <w:t>в стране,</w:t>
      </w:r>
      <w:r w:rsidR="00350374" w:rsidRPr="00BB6688">
        <w:rPr>
          <w:rFonts w:ascii="Arial" w:eastAsia="Proxima Nova" w:hAnsi="Arial" w:cs="Arial"/>
          <w:bCs/>
          <w:iCs/>
        </w:rPr>
        <w:t xml:space="preserve"> упала с 69% в первом квартале до 63% в конце года, то есть на 6 </w:t>
      </w:r>
      <w:proofErr w:type="spellStart"/>
      <w:r w:rsidR="00350374" w:rsidRPr="00BB6688">
        <w:rPr>
          <w:rFonts w:ascii="Arial" w:eastAsia="Proxima Nova" w:hAnsi="Arial" w:cs="Arial"/>
          <w:bCs/>
          <w:iCs/>
        </w:rPr>
        <w:t>п.п</w:t>
      </w:r>
      <w:proofErr w:type="spellEnd"/>
      <w:r w:rsidR="00350374" w:rsidRPr="00BB6688">
        <w:rPr>
          <w:rFonts w:ascii="Arial" w:eastAsia="Proxima Nova" w:hAnsi="Arial" w:cs="Arial"/>
          <w:bCs/>
          <w:iCs/>
        </w:rPr>
        <w:t xml:space="preserve">. </w:t>
      </w:r>
    </w:p>
    <w:p w14:paraId="3B0D65BC" w14:textId="77777777" w:rsidR="00350374" w:rsidRPr="00BB6688" w:rsidRDefault="00350374" w:rsidP="000178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B2E0C5" w14:textId="422DBCE8" w:rsidR="00500391" w:rsidRPr="00BB6688" w:rsidRDefault="00AD4AEF" w:rsidP="000178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Помимо этого</w:t>
      </w:r>
      <w:r w:rsidR="00AD098E">
        <w:rPr>
          <w:rFonts w:ascii="Arial" w:eastAsia="Times New Roman" w:hAnsi="Arial" w:cs="Arial"/>
          <w:color w:val="000000"/>
        </w:rPr>
        <w:t>,</w:t>
      </w:r>
      <w:r w:rsidR="00350374" w:rsidRPr="00BB6688">
        <w:rPr>
          <w:rFonts w:ascii="Arial" w:eastAsia="Times New Roman" w:hAnsi="Arial" w:cs="Arial"/>
          <w:color w:val="000000"/>
        </w:rPr>
        <w:t xml:space="preserve"> за последние три месяца на 1% выросло число тех, кто был вынужден покинуть рабочее место из-за реорганизации компании</w:t>
      </w:r>
      <w:r>
        <w:rPr>
          <w:rFonts w:ascii="Arial" w:eastAsia="Times New Roman" w:hAnsi="Arial" w:cs="Arial"/>
          <w:color w:val="000000"/>
        </w:rPr>
        <w:t xml:space="preserve"> (в конце года доля таких ответов выросла до </w:t>
      </w:r>
      <w:r w:rsidR="00350374" w:rsidRPr="00BB6688">
        <w:rPr>
          <w:rFonts w:ascii="Arial" w:eastAsia="Times New Roman" w:hAnsi="Arial" w:cs="Arial"/>
          <w:color w:val="000000"/>
        </w:rPr>
        <w:t>8%</w:t>
      </w:r>
      <w:r>
        <w:rPr>
          <w:rFonts w:ascii="Arial" w:eastAsia="Times New Roman" w:hAnsi="Arial" w:cs="Arial"/>
          <w:color w:val="000000"/>
        </w:rPr>
        <w:t>)</w:t>
      </w:r>
      <w:r w:rsidR="00350374" w:rsidRPr="00BB6688">
        <w:rPr>
          <w:rFonts w:ascii="Arial" w:eastAsia="Times New Roman" w:hAnsi="Arial" w:cs="Arial"/>
          <w:color w:val="000000"/>
        </w:rPr>
        <w:t xml:space="preserve">. В целом если сравнивать </w:t>
      </w:r>
      <w:r>
        <w:rPr>
          <w:rFonts w:ascii="Arial" w:eastAsia="Times New Roman" w:hAnsi="Arial" w:cs="Arial"/>
          <w:color w:val="000000"/>
        </w:rPr>
        <w:t xml:space="preserve">ситуацию на рынке труда </w:t>
      </w:r>
      <w:r w:rsidR="00350374" w:rsidRPr="00BB6688">
        <w:rPr>
          <w:rFonts w:ascii="Arial" w:eastAsia="Times New Roman" w:hAnsi="Arial" w:cs="Arial"/>
          <w:color w:val="000000"/>
        </w:rPr>
        <w:t>с началом года, количество трудящихся, которые вынужденно покидали рабочие места из-за реорганизации</w:t>
      </w:r>
      <w:r w:rsidR="00DC63BC" w:rsidRPr="00BB6688">
        <w:rPr>
          <w:rFonts w:ascii="Arial" w:eastAsia="Times New Roman" w:hAnsi="Arial" w:cs="Arial"/>
          <w:color w:val="000000"/>
        </w:rPr>
        <w:t xml:space="preserve">, </w:t>
      </w:r>
      <w:r w:rsidR="00350374" w:rsidRPr="00BB6688">
        <w:rPr>
          <w:rFonts w:ascii="Arial" w:eastAsia="Times New Roman" w:hAnsi="Arial" w:cs="Arial"/>
          <w:color w:val="000000"/>
        </w:rPr>
        <w:t>не сокращалось (</w:t>
      </w:r>
      <w:r w:rsidR="00DC63BC" w:rsidRPr="00BB6688">
        <w:rPr>
          <w:rFonts w:ascii="Arial" w:eastAsia="Times New Roman" w:hAnsi="Arial" w:cs="Arial"/>
          <w:color w:val="000000"/>
        </w:rPr>
        <w:t xml:space="preserve">прирост </w:t>
      </w:r>
      <w:r w:rsidR="00350374" w:rsidRPr="00BB6688">
        <w:rPr>
          <w:rFonts w:ascii="Arial" w:eastAsia="Times New Roman" w:hAnsi="Arial" w:cs="Arial"/>
          <w:color w:val="000000"/>
        </w:rPr>
        <w:t xml:space="preserve">в среднем на </w:t>
      </w:r>
      <w:r w:rsidR="00DC63BC" w:rsidRPr="00BB6688">
        <w:rPr>
          <w:rFonts w:ascii="Arial" w:eastAsia="Times New Roman" w:hAnsi="Arial" w:cs="Arial"/>
          <w:color w:val="000000"/>
        </w:rPr>
        <w:t>0,5% - 1</w:t>
      </w:r>
      <w:r w:rsidR="00350374" w:rsidRPr="00BB6688">
        <w:rPr>
          <w:rFonts w:ascii="Arial" w:eastAsia="Times New Roman" w:hAnsi="Arial" w:cs="Arial"/>
          <w:color w:val="000000"/>
        </w:rPr>
        <w:t>% за квартал).</w:t>
      </w:r>
    </w:p>
    <w:p w14:paraId="0AED91FD" w14:textId="57065ADE" w:rsidR="00350374" w:rsidRPr="00BB6688" w:rsidRDefault="00350374" w:rsidP="000178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9D8ED30" w14:textId="64728B0E" w:rsidR="00350374" w:rsidRPr="00BB6688" w:rsidRDefault="00AD4AEF" w:rsidP="000178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 данным исследования также выяснилось, что в конце </w:t>
      </w:r>
      <w:r w:rsidR="00350374" w:rsidRPr="00BB6688">
        <w:rPr>
          <w:rFonts w:ascii="Arial" w:eastAsia="Times New Roman" w:hAnsi="Arial" w:cs="Arial"/>
          <w:color w:val="000000"/>
        </w:rPr>
        <w:t xml:space="preserve">2022 года на 4% выросла доля </w:t>
      </w:r>
      <w:r w:rsidR="00BB6688">
        <w:rPr>
          <w:rFonts w:ascii="Arial" w:eastAsia="Times New Roman" w:hAnsi="Arial" w:cs="Arial"/>
          <w:color w:val="000000"/>
        </w:rPr>
        <w:t>работников</w:t>
      </w:r>
      <w:r w:rsidR="00350374" w:rsidRPr="00BB6688">
        <w:rPr>
          <w:rFonts w:ascii="Arial" w:eastAsia="Times New Roman" w:hAnsi="Arial" w:cs="Arial"/>
          <w:color w:val="000000"/>
        </w:rPr>
        <w:t>, которым пришлось уволиться из-за сокращени</w:t>
      </w:r>
      <w:r w:rsidR="00DC63BC" w:rsidRPr="00BB6688">
        <w:rPr>
          <w:rFonts w:ascii="Arial" w:eastAsia="Times New Roman" w:hAnsi="Arial" w:cs="Arial"/>
          <w:color w:val="000000"/>
        </w:rPr>
        <w:t>я</w:t>
      </w:r>
      <w:r w:rsidR="00350374" w:rsidRPr="00BB6688">
        <w:rPr>
          <w:rFonts w:ascii="Arial" w:eastAsia="Times New Roman" w:hAnsi="Arial" w:cs="Arial"/>
          <w:color w:val="000000"/>
        </w:rPr>
        <w:t xml:space="preserve"> штата</w:t>
      </w:r>
      <w:r w:rsidR="00BB6688">
        <w:rPr>
          <w:rFonts w:ascii="Arial" w:eastAsia="Times New Roman" w:hAnsi="Arial" w:cs="Arial"/>
          <w:color w:val="000000"/>
        </w:rPr>
        <w:t xml:space="preserve">, в результате чего </w:t>
      </w:r>
      <w:r w:rsidR="00350374" w:rsidRPr="00BB6688">
        <w:rPr>
          <w:rFonts w:ascii="Arial" w:eastAsia="Times New Roman" w:hAnsi="Arial" w:cs="Arial"/>
          <w:color w:val="000000"/>
        </w:rPr>
        <w:t xml:space="preserve">13% </w:t>
      </w:r>
      <w:r w:rsidR="00BB6688">
        <w:rPr>
          <w:rFonts w:ascii="Arial" w:eastAsia="Times New Roman" w:hAnsi="Arial" w:cs="Arial"/>
          <w:color w:val="000000"/>
        </w:rPr>
        <w:t>сотрудников российских компаний</w:t>
      </w:r>
      <w:r w:rsidR="00350374" w:rsidRPr="00BB6688">
        <w:rPr>
          <w:rFonts w:ascii="Arial" w:eastAsia="Times New Roman" w:hAnsi="Arial" w:cs="Arial"/>
          <w:color w:val="000000"/>
        </w:rPr>
        <w:t xml:space="preserve">, покинули рабочие места по сокращению. Подобные показатели были также зафиксированы в конце 2020 года.  </w:t>
      </w:r>
    </w:p>
    <w:p w14:paraId="4C444B43" w14:textId="77777777" w:rsidR="0016458C" w:rsidRPr="00BB6688" w:rsidRDefault="0016458C" w:rsidP="000178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AF16954" w14:textId="4F996AA2" w:rsidR="000178E5" w:rsidRPr="00BB6688" w:rsidRDefault="007F5868" w:rsidP="009D2A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6688">
        <w:rPr>
          <w:rFonts w:ascii="Arial" w:eastAsia="Times New Roman" w:hAnsi="Arial" w:cs="Arial"/>
          <w:color w:val="000000"/>
        </w:rPr>
        <w:t>Невыполнение плана и рабочих задач – ещё одна причина увольнений, из-за неё потеряли работу</w:t>
      </w:r>
      <w:r w:rsidR="00AD4AEF">
        <w:rPr>
          <w:rFonts w:ascii="Arial" w:eastAsia="Times New Roman" w:hAnsi="Arial" w:cs="Arial"/>
          <w:color w:val="000000"/>
        </w:rPr>
        <w:t xml:space="preserve"> около 1% опрошенных</w:t>
      </w:r>
      <w:r w:rsidRPr="00BB6688">
        <w:rPr>
          <w:rFonts w:ascii="Arial" w:eastAsia="Times New Roman" w:hAnsi="Arial" w:cs="Arial"/>
          <w:color w:val="000000"/>
        </w:rPr>
        <w:t xml:space="preserve">. При этом в течение года активной динамики по данной причине увольнения зафиксировано не было, то есть </w:t>
      </w:r>
      <w:r w:rsidR="00FF4404" w:rsidRPr="00BB6688">
        <w:rPr>
          <w:rFonts w:ascii="Arial" w:eastAsia="Times New Roman" w:hAnsi="Arial" w:cs="Arial"/>
          <w:color w:val="000000"/>
        </w:rPr>
        <w:t>в целом</w:t>
      </w:r>
      <w:r w:rsidR="00FF4404">
        <w:rPr>
          <w:rFonts w:ascii="Arial" w:eastAsia="Times New Roman" w:hAnsi="Arial" w:cs="Arial"/>
          <w:color w:val="000000"/>
        </w:rPr>
        <w:t>,</w:t>
      </w:r>
      <w:r w:rsidR="00FF4404" w:rsidRPr="00BB6688">
        <w:rPr>
          <w:rFonts w:ascii="Arial" w:eastAsia="Times New Roman" w:hAnsi="Arial" w:cs="Arial"/>
          <w:color w:val="000000"/>
        </w:rPr>
        <w:t xml:space="preserve"> несмотря на кризис</w:t>
      </w:r>
      <w:r w:rsidR="00FF4404">
        <w:rPr>
          <w:rFonts w:ascii="Arial" w:eastAsia="Times New Roman" w:hAnsi="Arial" w:cs="Arial"/>
          <w:color w:val="000000"/>
        </w:rPr>
        <w:t>,</w:t>
      </w:r>
      <w:r w:rsidR="00FF4404" w:rsidRPr="00BB6688">
        <w:rPr>
          <w:rFonts w:ascii="Arial" w:eastAsia="Times New Roman" w:hAnsi="Arial" w:cs="Arial"/>
          <w:color w:val="000000"/>
        </w:rPr>
        <w:t xml:space="preserve"> </w:t>
      </w:r>
      <w:r w:rsidRPr="00BB6688">
        <w:rPr>
          <w:rFonts w:ascii="Arial" w:eastAsia="Times New Roman" w:hAnsi="Arial" w:cs="Arial"/>
          <w:color w:val="000000"/>
        </w:rPr>
        <w:t>россияне ответственно подходили к выполнению своих обязанностей.</w:t>
      </w:r>
    </w:p>
    <w:p w14:paraId="4C285AFC" w14:textId="01271FE6" w:rsidR="007F5868" w:rsidRPr="00BB6688" w:rsidRDefault="007F5868" w:rsidP="009D2A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FF766C" w14:textId="6C02000A" w:rsidR="007F5868" w:rsidRPr="00BB6688" w:rsidRDefault="007F5868" w:rsidP="009D2A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6688">
        <w:rPr>
          <w:rFonts w:ascii="Arial" w:eastAsia="Times New Roman" w:hAnsi="Arial" w:cs="Arial"/>
          <w:color w:val="000000"/>
        </w:rPr>
        <w:t xml:space="preserve">Более того, </w:t>
      </w:r>
      <w:r w:rsidR="00904DC1" w:rsidRPr="00BB6688">
        <w:rPr>
          <w:rFonts w:ascii="Arial" w:eastAsia="Times New Roman" w:hAnsi="Arial" w:cs="Arial"/>
          <w:color w:val="000000"/>
        </w:rPr>
        <w:t xml:space="preserve">россияне стали реже нарушать трудовую дисциплину. </w:t>
      </w:r>
      <w:r w:rsidR="00AD098E">
        <w:rPr>
          <w:rFonts w:ascii="Arial" w:eastAsia="Times New Roman" w:hAnsi="Arial" w:cs="Arial"/>
          <w:color w:val="000000"/>
        </w:rPr>
        <w:t>Если в</w:t>
      </w:r>
      <w:r w:rsidR="00904DC1" w:rsidRPr="00BB6688">
        <w:rPr>
          <w:rFonts w:ascii="Arial" w:eastAsia="Times New Roman" w:hAnsi="Arial" w:cs="Arial"/>
          <w:color w:val="000000"/>
        </w:rPr>
        <w:t xml:space="preserve"> начале года </w:t>
      </w:r>
      <w:r w:rsidR="00AD098E" w:rsidRPr="00BB6688">
        <w:rPr>
          <w:rFonts w:ascii="Arial" w:eastAsia="Times New Roman" w:hAnsi="Arial" w:cs="Arial"/>
          <w:color w:val="000000"/>
        </w:rPr>
        <w:t>неподобающ</w:t>
      </w:r>
      <w:r w:rsidR="00AD098E">
        <w:rPr>
          <w:rFonts w:ascii="Arial" w:eastAsia="Times New Roman" w:hAnsi="Arial" w:cs="Arial"/>
          <w:color w:val="000000"/>
        </w:rPr>
        <w:t>ее</w:t>
      </w:r>
      <w:r w:rsidR="00AD098E" w:rsidRPr="00BB6688">
        <w:rPr>
          <w:rFonts w:ascii="Arial" w:eastAsia="Times New Roman" w:hAnsi="Arial" w:cs="Arial"/>
          <w:color w:val="000000"/>
        </w:rPr>
        <w:t xml:space="preserve"> поведени</w:t>
      </w:r>
      <w:r w:rsidR="00AD098E">
        <w:rPr>
          <w:rFonts w:ascii="Arial" w:eastAsia="Times New Roman" w:hAnsi="Arial" w:cs="Arial"/>
          <w:color w:val="000000"/>
        </w:rPr>
        <w:t>е на работе</w:t>
      </w:r>
      <w:r w:rsidR="00AD098E" w:rsidRPr="00BB6688">
        <w:rPr>
          <w:rFonts w:ascii="Arial" w:eastAsia="Times New Roman" w:hAnsi="Arial" w:cs="Arial"/>
          <w:color w:val="000000"/>
        </w:rPr>
        <w:t xml:space="preserve"> </w:t>
      </w:r>
      <w:r w:rsidR="00AD098E">
        <w:rPr>
          <w:rFonts w:ascii="Arial" w:eastAsia="Times New Roman" w:hAnsi="Arial" w:cs="Arial"/>
          <w:color w:val="000000"/>
        </w:rPr>
        <w:t xml:space="preserve">стало причиной увольнений 1% трудящихся, то </w:t>
      </w:r>
      <w:r w:rsidR="00904DC1" w:rsidRPr="00BB6688">
        <w:rPr>
          <w:rFonts w:ascii="Arial" w:eastAsia="Times New Roman" w:hAnsi="Arial" w:cs="Arial"/>
          <w:color w:val="000000"/>
        </w:rPr>
        <w:t xml:space="preserve">в конце года таких </w:t>
      </w:r>
      <w:r w:rsidR="00AD098E">
        <w:rPr>
          <w:rFonts w:ascii="Arial" w:eastAsia="Times New Roman" w:hAnsi="Arial" w:cs="Arial"/>
          <w:color w:val="000000"/>
        </w:rPr>
        <w:t>случаев стало гораздо меньше</w:t>
      </w:r>
      <w:r w:rsidR="00DC63BC" w:rsidRPr="00BB6688">
        <w:rPr>
          <w:rFonts w:ascii="Arial" w:eastAsia="Times New Roman" w:hAnsi="Arial" w:cs="Arial"/>
          <w:color w:val="000000"/>
        </w:rPr>
        <w:t xml:space="preserve"> (показатель на уровне </w:t>
      </w:r>
      <w:r w:rsidR="00904DC1" w:rsidRPr="00BB6688">
        <w:rPr>
          <w:rFonts w:ascii="Arial" w:eastAsia="Times New Roman" w:hAnsi="Arial" w:cs="Arial"/>
          <w:color w:val="000000"/>
        </w:rPr>
        <w:t>0,3%</w:t>
      </w:r>
      <w:r w:rsidR="00DC63BC" w:rsidRPr="00BB6688">
        <w:rPr>
          <w:rFonts w:ascii="Arial" w:eastAsia="Times New Roman" w:hAnsi="Arial" w:cs="Arial"/>
          <w:color w:val="000000"/>
        </w:rPr>
        <w:t>)</w:t>
      </w:r>
      <w:r w:rsidR="00904DC1" w:rsidRPr="00BB6688">
        <w:rPr>
          <w:rFonts w:ascii="Arial" w:eastAsia="Times New Roman" w:hAnsi="Arial" w:cs="Arial"/>
          <w:color w:val="000000"/>
        </w:rPr>
        <w:t xml:space="preserve">. </w:t>
      </w:r>
    </w:p>
    <w:p w14:paraId="288EF7BE" w14:textId="14E84D09" w:rsidR="00796F31" w:rsidRPr="00BB6688" w:rsidRDefault="00350374" w:rsidP="00350374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Arial" w:eastAsia="Proxima Nova" w:hAnsi="Arial" w:cs="Arial"/>
        </w:rPr>
      </w:pPr>
      <w:r w:rsidRPr="00BB6688">
        <w:rPr>
          <w:rFonts w:ascii="Arial" w:hAnsi="Arial" w:cs="Arial"/>
          <w:noProof/>
        </w:rPr>
        <w:drawing>
          <wp:inline distT="0" distB="0" distL="0" distR="0" wp14:anchorId="2EE0157B" wp14:editId="644665A7">
            <wp:extent cx="6720840" cy="3305810"/>
            <wp:effectExtent l="0" t="0" r="3810" b="889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05ACDF9-3BC5-47C1-8EA2-F532EE7A5B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624914" w14:textId="77777777" w:rsidR="00435DF8" w:rsidRPr="00BB6688" w:rsidRDefault="00435DF8" w:rsidP="006C4C8A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eastAsia="Proxima Nova" w:hAnsi="Arial" w:cs="Arial"/>
        </w:rPr>
      </w:pPr>
    </w:p>
    <w:p w14:paraId="74F5BE57" w14:textId="05201C26" w:rsidR="001B785E" w:rsidRPr="00BB6688" w:rsidRDefault="001B785E" w:rsidP="006D1756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eastAsia="Proxima Nova" w:hAnsi="Arial" w:cs="Arial"/>
          <w:sz w:val="24"/>
          <w:szCs w:val="24"/>
        </w:rPr>
      </w:pPr>
    </w:p>
    <w:bookmarkEnd w:id="0"/>
    <w:bookmarkEnd w:id="1"/>
    <w:p w14:paraId="489758AB" w14:textId="77777777" w:rsidR="000627C0" w:rsidRPr="00776884" w:rsidRDefault="000627C0" w:rsidP="006D1756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Proxima Nova Lt" w:eastAsia="Proxima Nova" w:hAnsi="Proxima Nova Lt" w:cs="Proxima Nova"/>
          <w:sz w:val="24"/>
          <w:szCs w:val="24"/>
        </w:rPr>
      </w:pPr>
    </w:p>
    <w:p w14:paraId="6A46A17D" w14:textId="77777777" w:rsidR="00EF4C80" w:rsidRPr="00776884" w:rsidRDefault="00EF4C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Proxima Nova Lt" w:eastAsia="Proxima Nova" w:hAnsi="Proxima Nova Lt" w:cs="Proxima Nova"/>
          <w:sz w:val="24"/>
          <w:szCs w:val="24"/>
        </w:rPr>
      </w:pPr>
    </w:p>
    <w:p w14:paraId="26807C42" w14:textId="7F73FAB2" w:rsidR="00CE3669" w:rsidRDefault="0097228E" w:rsidP="00690192">
      <w:pPr>
        <w:spacing w:after="0" w:line="276" w:lineRule="auto"/>
        <w:jc w:val="both"/>
        <w:rPr>
          <w:rFonts w:ascii="Arial" w:eastAsia="Proxima Nova" w:hAnsi="Arial" w:cs="Arial"/>
          <w:b/>
          <w:sz w:val="18"/>
          <w:szCs w:val="18"/>
        </w:rPr>
      </w:pPr>
      <w:r w:rsidRPr="00AD098E">
        <w:rPr>
          <w:rFonts w:ascii="Arial" w:eastAsia="Proxima Nova" w:hAnsi="Arial" w:cs="Arial"/>
          <w:b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</w:t>
      </w:r>
      <w:r w:rsidR="0077082C" w:rsidRPr="00AD098E">
        <w:rPr>
          <w:rFonts w:ascii="Arial" w:eastAsia="Proxima Nova" w:hAnsi="Arial" w:cs="Arial"/>
          <w:b/>
          <w:sz w:val="18"/>
          <w:szCs w:val="18"/>
        </w:rPr>
        <w:t xml:space="preserve"> или advecs.net</w:t>
      </w:r>
      <w:r w:rsidRPr="00AD098E">
        <w:rPr>
          <w:rFonts w:ascii="Arial" w:eastAsia="Proxima Nova" w:hAnsi="Arial" w:cs="Arial"/>
          <w:b/>
          <w:sz w:val="18"/>
          <w:szCs w:val="18"/>
        </w:rPr>
        <w:t>) обязательна.</w:t>
      </w:r>
    </w:p>
    <w:p w14:paraId="1F657F65" w14:textId="77777777" w:rsidR="00AD098E" w:rsidRPr="00AD098E" w:rsidRDefault="00AD098E" w:rsidP="00690192">
      <w:pPr>
        <w:spacing w:after="0" w:line="276" w:lineRule="auto"/>
        <w:jc w:val="both"/>
        <w:rPr>
          <w:rFonts w:ascii="Arial" w:eastAsia="Proxima Nova" w:hAnsi="Arial" w:cs="Arial"/>
          <w:b/>
          <w:sz w:val="18"/>
          <w:szCs w:val="18"/>
        </w:rPr>
      </w:pPr>
    </w:p>
    <w:p w14:paraId="2A2BC6DC" w14:textId="77777777" w:rsidR="00CE3669" w:rsidRPr="00AD098E" w:rsidRDefault="0097228E" w:rsidP="00690192">
      <w:pPr>
        <w:spacing w:after="0" w:line="276" w:lineRule="auto"/>
        <w:jc w:val="both"/>
        <w:rPr>
          <w:rFonts w:ascii="Arial" w:eastAsia="Proxima Nova" w:hAnsi="Arial" w:cs="Arial"/>
          <w:b/>
          <w:sz w:val="18"/>
          <w:szCs w:val="18"/>
        </w:rPr>
      </w:pPr>
      <w:r w:rsidRPr="00AD098E">
        <w:rPr>
          <w:rFonts w:ascii="Arial" w:eastAsia="Proxima Nova" w:hAnsi="Arial" w:cs="Arial"/>
          <w:b/>
          <w:sz w:val="18"/>
          <w:szCs w:val="18"/>
        </w:rPr>
        <w:t xml:space="preserve">О HeadHunter </w:t>
      </w:r>
    </w:p>
    <w:p w14:paraId="6C789DB4" w14:textId="2149E4FD" w:rsidR="00CE3669" w:rsidRPr="00AD098E" w:rsidRDefault="0097228E" w:rsidP="00690192">
      <w:pPr>
        <w:spacing w:after="0" w:line="276" w:lineRule="auto"/>
        <w:jc w:val="both"/>
        <w:rPr>
          <w:rFonts w:ascii="Arial" w:eastAsia="Proxima Nova" w:hAnsi="Arial" w:cs="Arial"/>
          <w:sz w:val="18"/>
          <w:szCs w:val="18"/>
        </w:rPr>
      </w:pPr>
      <w:r w:rsidRPr="00AD098E">
        <w:rPr>
          <w:rFonts w:ascii="Arial" w:eastAsia="Proxima Nova" w:hAnsi="Arial" w:cs="Arial"/>
          <w:sz w:val="18"/>
          <w:szCs w:val="18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A3ECF21" w14:textId="3FFA1ACB" w:rsidR="0077082C" w:rsidRPr="00555FC8" w:rsidRDefault="00B04CAF">
      <w:pPr>
        <w:spacing w:line="276" w:lineRule="auto"/>
        <w:jc w:val="both"/>
        <w:rPr>
          <w:rFonts w:ascii="Proxima Nova Lt" w:eastAsia="Proxima Nova" w:hAnsi="Proxima Nova Lt" w:cs="Proxima Nova"/>
        </w:rPr>
      </w:pPr>
      <w:r w:rsidRPr="00555FC8">
        <w:rPr>
          <w:rFonts w:ascii="Proxima Nova Lt" w:eastAsia="Proxima Nova" w:hAnsi="Proxima Nova Lt" w:cs="Proxima Nova"/>
          <w:sz w:val="14"/>
          <w:szCs w:val="14"/>
        </w:rPr>
        <w:t xml:space="preserve"> </w:t>
      </w:r>
    </w:p>
    <w:sectPr w:rsidR="0077082C" w:rsidRPr="00555FC8" w:rsidSect="00AF44F0">
      <w:headerReference w:type="default" r:id="rId9"/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5305" w14:textId="77777777" w:rsidR="0005357B" w:rsidRDefault="0005357B">
      <w:pPr>
        <w:spacing w:after="0" w:line="240" w:lineRule="auto"/>
      </w:pPr>
      <w:r>
        <w:separator/>
      </w:r>
    </w:p>
  </w:endnote>
  <w:endnote w:type="continuationSeparator" w:id="0">
    <w:p w14:paraId="2604926C" w14:textId="77777777" w:rsidR="0005357B" w:rsidRDefault="000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C89" w14:textId="77777777" w:rsidR="0005357B" w:rsidRDefault="0005357B">
      <w:pPr>
        <w:spacing w:after="0" w:line="240" w:lineRule="auto"/>
      </w:pPr>
      <w:r>
        <w:separator/>
      </w:r>
    </w:p>
  </w:footnote>
  <w:footnote w:type="continuationSeparator" w:id="0">
    <w:p w14:paraId="6B8A0D1A" w14:textId="77777777" w:rsidR="0005357B" w:rsidRDefault="000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87C2" w14:textId="201780EB" w:rsidR="00300AE5" w:rsidRPr="006456EC" w:rsidRDefault="00BB6688" w:rsidP="00BB668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Proxima Nova Lt" w:eastAsia="Proxima Nova" w:hAnsi="Proxima Nova Lt" w:cs="Proxima Nova"/>
        <w:color w:val="000000"/>
        <w:sz w:val="20"/>
        <w:szCs w:val="20"/>
      </w:rPr>
    </w:pPr>
    <w:r>
      <w:rPr>
        <w:rFonts w:ascii="Proxima Nova Lt" w:hAnsi="Proxima Nova Lt"/>
        <w:noProof/>
      </w:rPr>
      <w:drawing>
        <wp:inline distT="0" distB="0" distL="0" distR="0" wp14:anchorId="40B97470" wp14:editId="14FDA6DD">
          <wp:extent cx="2556574" cy="815340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84" cy="81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28E" w:rsidRPr="006456EC">
      <w:rPr>
        <w:rFonts w:ascii="Proxima Nova Lt" w:hAnsi="Proxima Nova Lt"/>
        <w:noProof/>
      </w:rPr>
      <mc:AlternateContent>
        <mc:Choice Requires="wpg">
          <w:drawing>
            <wp:anchor distT="0" distB="0" distL="114299" distR="114299" simplePos="0" relativeHeight="251658240" behindDoc="0" locked="0" layoutInCell="1" hidden="0" allowOverlap="1" wp14:anchorId="7FF231AD" wp14:editId="0968AC31">
              <wp:simplePos x="0" y="0"/>
              <wp:positionH relativeFrom="column">
                <wp:posOffset>1104899</wp:posOffset>
              </wp:positionH>
              <wp:positionV relativeFrom="paragraph">
                <wp:posOffset>0</wp:posOffset>
              </wp:positionV>
              <wp:extent cx="12700" cy="71755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21225"/>
                        <a:ext cx="0" cy="7175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20A1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1104899</wp:posOffset>
              </wp:positionH>
              <wp:positionV relativeFrom="paragraph">
                <wp:posOffset>0</wp:posOffset>
              </wp:positionV>
              <wp:extent cx="12700" cy="7175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717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7228E" w:rsidRPr="006456EC">
      <w:rPr>
        <w:rFonts w:ascii="Proxima Nova Lt" w:hAnsi="Proxima Nova Lt"/>
        <w:noProof/>
      </w:rPr>
      <w:drawing>
        <wp:anchor distT="0" distB="0" distL="114300" distR="114300" simplePos="0" relativeHeight="251659264" behindDoc="0" locked="0" layoutInCell="1" hidden="0" allowOverlap="1" wp14:anchorId="0FA28E79" wp14:editId="6A40740C">
          <wp:simplePos x="0" y="0"/>
          <wp:positionH relativeFrom="column">
            <wp:posOffset>4</wp:posOffset>
          </wp:positionH>
          <wp:positionV relativeFrom="paragraph">
            <wp:posOffset>-632</wp:posOffset>
          </wp:positionV>
          <wp:extent cx="717550" cy="717550"/>
          <wp:effectExtent l="0" t="0" r="0" b="0"/>
          <wp:wrapNone/>
          <wp:docPr id="10" name="image1.png" descr="Изображение выглядит как текст, коллекция картинок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, коллекция картинок&#10;&#10;Автоматически созданное описание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114"/>
    <w:multiLevelType w:val="multilevel"/>
    <w:tmpl w:val="0060B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69"/>
    <w:rsid w:val="000178E5"/>
    <w:rsid w:val="00034231"/>
    <w:rsid w:val="00043EB2"/>
    <w:rsid w:val="0005357B"/>
    <w:rsid w:val="000627C0"/>
    <w:rsid w:val="00064076"/>
    <w:rsid w:val="00083C51"/>
    <w:rsid w:val="000A60FF"/>
    <w:rsid w:val="000B6338"/>
    <w:rsid w:val="000D0CFA"/>
    <w:rsid w:val="000D41D4"/>
    <w:rsid w:val="000E1C79"/>
    <w:rsid w:val="001421BA"/>
    <w:rsid w:val="0016458C"/>
    <w:rsid w:val="001807B1"/>
    <w:rsid w:val="00192ED3"/>
    <w:rsid w:val="001B785E"/>
    <w:rsid w:val="001C2643"/>
    <w:rsid w:val="001D01ED"/>
    <w:rsid w:val="001D5F26"/>
    <w:rsid w:val="001E3120"/>
    <w:rsid w:val="001F546D"/>
    <w:rsid w:val="0020756B"/>
    <w:rsid w:val="00216A2A"/>
    <w:rsid w:val="00252E93"/>
    <w:rsid w:val="00260988"/>
    <w:rsid w:val="00295DAB"/>
    <w:rsid w:val="00300AE5"/>
    <w:rsid w:val="003154E4"/>
    <w:rsid w:val="00350374"/>
    <w:rsid w:val="003903BB"/>
    <w:rsid w:val="00397A7F"/>
    <w:rsid w:val="003B2D8A"/>
    <w:rsid w:val="003B6EDB"/>
    <w:rsid w:val="003C31D2"/>
    <w:rsid w:val="003D3AEC"/>
    <w:rsid w:val="00435DF8"/>
    <w:rsid w:val="004E665C"/>
    <w:rsid w:val="00500391"/>
    <w:rsid w:val="00507D02"/>
    <w:rsid w:val="005146CC"/>
    <w:rsid w:val="00555FC8"/>
    <w:rsid w:val="00557EE0"/>
    <w:rsid w:val="00561053"/>
    <w:rsid w:val="00572C28"/>
    <w:rsid w:val="00581E0E"/>
    <w:rsid w:val="005A20EF"/>
    <w:rsid w:val="005B510C"/>
    <w:rsid w:val="005F5599"/>
    <w:rsid w:val="006255F1"/>
    <w:rsid w:val="006456EC"/>
    <w:rsid w:val="00660687"/>
    <w:rsid w:val="00690192"/>
    <w:rsid w:val="006B0A18"/>
    <w:rsid w:val="006B47C4"/>
    <w:rsid w:val="006C4C8A"/>
    <w:rsid w:val="006D1756"/>
    <w:rsid w:val="006D2C24"/>
    <w:rsid w:val="006E3104"/>
    <w:rsid w:val="006F7350"/>
    <w:rsid w:val="00717C20"/>
    <w:rsid w:val="00736382"/>
    <w:rsid w:val="007417F6"/>
    <w:rsid w:val="0077082C"/>
    <w:rsid w:val="007720F9"/>
    <w:rsid w:val="00776884"/>
    <w:rsid w:val="007801EF"/>
    <w:rsid w:val="0078051F"/>
    <w:rsid w:val="00786A08"/>
    <w:rsid w:val="00793937"/>
    <w:rsid w:val="00796F31"/>
    <w:rsid w:val="007A4E44"/>
    <w:rsid w:val="007A7B58"/>
    <w:rsid w:val="007C2386"/>
    <w:rsid w:val="007F5868"/>
    <w:rsid w:val="007F5A8F"/>
    <w:rsid w:val="00807781"/>
    <w:rsid w:val="00813097"/>
    <w:rsid w:val="00822466"/>
    <w:rsid w:val="00826165"/>
    <w:rsid w:val="00845161"/>
    <w:rsid w:val="00880665"/>
    <w:rsid w:val="008A1B82"/>
    <w:rsid w:val="008A279A"/>
    <w:rsid w:val="008F3204"/>
    <w:rsid w:val="00904DC1"/>
    <w:rsid w:val="00926A57"/>
    <w:rsid w:val="00931DF7"/>
    <w:rsid w:val="0097228E"/>
    <w:rsid w:val="00972DB3"/>
    <w:rsid w:val="00983A8B"/>
    <w:rsid w:val="0099419D"/>
    <w:rsid w:val="009B0808"/>
    <w:rsid w:val="009D2A24"/>
    <w:rsid w:val="00A53121"/>
    <w:rsid w:val="00A61083"/>
    <w:rsid w:val="00A82FB1"/>
    <w:rsid w:val="00A857CF"/>
    <w:rsid w:val="00AC650A"/>
    <w:rsid w:val="00AD098E"/>
    <w:rsid w:val="00AD29E5"/>
    <w:rsid w:val="00AD3428"/>
    <w:rsid w:val="00AD4AEF"/>
    <w:rsid w:val="00AE34A4"/>
    <w:rsid w:val="00AF44F0"/>
    <w:rsid w:val="00AF6A7B"/>
    <w:rsid w:val="00B04CAF"/>
    <w:rsid w:val="00B4011D"/>
    <w:rsid w:val="00B77C5A"/>
    <w:rsid w:val="00B94C82"/>
    <w:rsid w:val="00BB6688"/>
    <w:rsid w:val="00BC3EF7"/>
    <w:rsid w:val="00BC4ABD"/>
    <w:rsid w:val="00BF6778"/>
    <w:rsid w:val="00C04461"/>
    <w:rsid w:val="00CE21E0"/>
    <w:rsid w:val="00CE3669"/>
    <w:rsid w:val="00D03243"/>
    <w:rsid w:val="00D04103"/>
    <w:rsid w:val="00D51E5F"/>
    <w:rsid w:val="00D87A08"/>
    <w:rsid w:val="00DA2DA8"/>
    <w:rsid w:val="00DC4403"/>
    <w:rsid w:val="00DC63BC"/>
    <w:rsid w:val="00DC79F3"/>
    <w:rsid w:val="00DE2751"/>
    <w:rsid w:val="00DE5A71"/>
    <w:rsid w:val="00E168D3"/>
    <w:rsid w:val="00E2356B"/>
    <w:rsid w:val="00E3733F"/>
    <w:rsid w:val="00E410CE"/>
    <w:rsid w:val="00E52621"/>
    <w:rsid w:val="00E62522"/>
    <w:rsid w:val="00E629D7"/>
    <w:rsid w:val="00E832E6"/>
    <w:rsid w:val="00EA7FA4"/>
    <w:rsid w:val="00EF4C80"/>
    <w:rsid w:val="00F0535C"/>
    <w:rsid w:val="00F327B4"/>
    <w:rsid w:val="00F44DE6"/>
    <w:rsid w:val="00F8520F"/>
    <w:rsid w:val="00FA61A5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73F6"/>
  <w15:docId w15:val="{D97F59FA-B0D2-4574-8745-0463EE4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B08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F6778"/>
  </w:style>
  <w:style w:type="paragraph" w:styleId="a6">
    <w:name w:val="header"/>
    <w:basedOn w:val="a"/>
    <w:link w:val="a7"/>
    <w:uiPriority w:val="99"/>
    <w:unhideWhenUsed/>
    <w:rsid w:val="006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6EC"/>
  </w:style>
  <w:style w:type="paragraph" w:styleId="a8">
    <w:name w:val="footer"/>
    <w:basedOn w:val="a"/>
    <w:link w:val="a9"/>
    <w:uiPriority w:val="99"/>
    <w:unhideWhenUsed/>
    <w:rsid w:val="006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6EC"/>
  </w:style>
  <w:style w:type="character" w:styleId="aa">
    <w:name w:val="Unresolved Mention"/>
    <w:basedOn w:val="a0"/>
    <w:uiPriority w:val="99"/>
    <w:semiHidden/>
    <w:unhideWhenUsed/>
    <w:rsid w:val="006F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m_buzunova_pyn_ru/Documents/&#1056;&#1072;&#1073;&#1086;&#1095;&#1080;&#1081;%20&#1089;&#1090;&#1086;&#1083;/&#1088;&#1077;&#1083;&#1080;&#1079;&#1099;/&#1085;&#1072;&#1089;&#1090;&#1088;&#1086;&#1077;&#1085;&#1080;&#1077;%20&#1089;&#1086;&#1080;&#1089;&#1082;&#1072;&#1090;&#1077;&#1083;&#1077;&#1081;/2022/4%20&#1082;&#1074;/&#1085;&#1072;&#1089;&#1090;&#1088;&#1086;&#1077;&#1085;&#1080;&#1103;_report_Q4'22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Proxima Nova Cn Rg" panose="02000506030000020004" pitchFamily="2" charset="0"/>
              </a:rPr>
              <a:t>Укажите основную причину ухода с последнего места работы, Россия 2022 </a:t>
            </a:r>
          </a:p>
          <a:p>
            <a:pPr>
              <a:defRPr/>
            </a:pPr>
            <a:r>
              <a:rPr lang="ru-RU" sz="1000">
                <a:solidFill>
                  <a:sysClr val="windowText" lastClr="000000"/>
                </a:solidFill>
                <a:latin typeface="Proxima Nova Cn Rg" panose="02000506030000020004" pitchFamily="2" charset="0"/>
              </a:rPr>
              <a:t>Ответы в %</a:t>
            </a:r>
            <a:endParaRPr lang="en-US" sz="1000">
              <a:solidFill>
                <a:sysClr val="windowText" lastClr="000000"/>
              </a:solidFill>
              <a:latin typeface="Proxima Nova Cn Rg" panose="02000506030000020004" pitchFamily="2" charset="0"/>
            </a:endParaRPr>
          </a:p>
        </c:rich>
      </c:tx>
      <c:layout>
        <c:manualLayout>
          <c:xMode val="edge"/>
          <c:yMode val="edge"/>
          <c:x val="0.12463525375518145"/>
          <c:y val="2.31481173944166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шкалы!$B$102:$E$102</c:f>
              <c:strCache>
                <c:ptCount val="4"/>
                <c:pt idx="0">
                  <c:v>По собственному желанию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шкалы!$F$102:$AK$102</c:f>
              <c:numCache>
                <c:formatCode>0</c:formatCode>
                <c:ptCount val="32"/>
                <c:pt idx="0">
                  <c:v>57.885498244666401</c:v>
                </c:pt>
                <c:pt idx="1">
                  <c:v>51.841734955715502</c:v>
                </c:pt>
                <c:pt idx="2">
                  <c:v>53.002127856415903</c:v>
                </c:pt>
                <c:pt idx="3">
                  <c:v>52.775867151419796</c:v>
                </c:pt>
                <c:pt idx="4">
                  <c:v>52.866361170859399</c:v>
                </c:pt>
                <c:pt idx="5">
                  <c:v>54.121947790223501</c:v>
                </c:pt>
                <c:pt idx="6">
                  <c:v>50.720384204909195</c:v>
                </c:pt>
                <c:pt idx="7">
                  <c:v>54.541544813349297</c:v>
                </c:pt>
                <c:pt idx="8">
                  <c:v>57.223233493297997</c:v>
                </c:pt>
                <c:pt idx="9">
                  <c:v>58.397161976941007</c:v>
                </c:pt>
                <c:pt idx="10">
                  <c:v>53.245602072821498</c:v>
                </c:pt>
                <c:pt idx="11">
                  <c:v>56.126334186380298</c:v>
                </c:pt>
                <c:pt idx="12">
                  <c:v>56.326442255655294</c:v>
                </c:pt>
                <c:pt idx="13">
                  <c:v>57.408390865639902</c:v>
                </c:pt>
                <c:pt idx="14">
                  <c:v>54.443435927056605</c:v>
                </c:pt>
                <c:pt idx="15">
                  <c:v>56.145518815818498</c:v>
                </c:pt>
                <c:pt idx="16">
                  <c:v>56.102735055686004</c:v>
                </c:pt>
                <c:pt idx="17">
                  <c:v>58.1128747795414</c:v>
                </c:pt>
                <c:pt idx="18">
                  <c:v>55.534612748457803</c:v>
                </c:pt>
                <c:pt idx="19">
                  <c:v>58.094593578464504</c:v>
                </c:pt>
                <c:pt idx="20">
                  <c:v>57.7417551704863</c:v>
                </c:pt>
                <c:pt idx="21">
                  <c:v>49.749749749749697</c:v>
                </c:pt>
                <c:pt idx="22">
                  <c:v>45.624879273710597</c:v>
                </c:pt>
                <c:pt idx="23">
                  <c:v>55.475711411325001</c:v>
                </c:pt>
                <c:pt idx="24">
                  <c:v>57.383512544802798</c:v>
                </c:pt>
                <c:pt idx="25">
                  <c:v>60.6253525666854</c:v>
                </c:pt>
                <c:pt idx="26">
                  <c:v>58.636032683439801</c:v>
                </c:pt>
                <c:pt idx="27">
                  <c:v>61.563299999999998</c:v>
                </c:pt>
                <c:pt idx="28">
                  <c:v>69.450430999999995</c:v>
                </c:pt>
                <c:pt idx="29">
                  <c:v>63.787840244212667</c:v>
                </c:pt>
                <c:pt idx="30">
                  <c:v>62.846715328467148</c:v>
                </c:pt>
                <c:pt idx="31">
                  <c:v>63.176957571576409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4-4E22-9F19-4EEB6971D0C1}"/>
            </c:ext>
          </c:extLst>
        </c:ser>
        <c:ser>
          <c:idx val="1"/>
          <c:order val="1"/>
          <c:tx>
            <c:strRef>
              <c:f>шкалы!$B$103:$E$103</c:f>
              <c:strCache>
                <c:ptCount val="4"/>
                <c:pt idx="0">
                  <c:v>Другое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шкалы!$F$103:$AK$103</c:f>
              <c:numCache>
                <c:formatCode>0</c:formatCode>
                <c:ptCount val="32"/>
                <c:pt idx="0">
                  <c:v>20.7534431541992</c:v>
                </c:pt>
                <c:pt idx="1">
                  <c:v>17.639268272494</c:v>
                </c:pt>
                <c:pt idx="2">
                  <c:v>23.637709316310403</c:v>
                </c:pt>
                <c:pt idx="3">
                  <c:v>23.779109757295799</c:v>
                </c:pt>
                <c:pt idx="4">
                  <c:v>20.7986533246048</c:v>
                </c:pt>
                <c:pt idx="5">
                  <c:v>19.4404086797581</c:v>
                </c:pt>
                <c:pt idx="6">
                  <c:v>28.135005336179297</c:v>
                </c:pt>
                <c:pt idx="7">
                  <c:v>24.2043695166007</c:v>
                </c:pt>
                <c:pt idx="8">
                  <c:v>19.733576038391501</c:v>
                </c:pt>
                <c:pt idx="9">
                  <c:v>18.374586793517601</c:v>
                </c:pt>
                <c:pt idx="10">
                  <c:v>27.908086731214997</c:v>
                </c:pt>
                <c:pt idx="11">
                  <c:v>24.549029398913898</c:v>
                </c:pt>
                <c:pt idx="12">
                  <c:v>20.9762961359454</c:v>
                </c:pt>
                <c:pt idx="13">
                  <c:v>20.0013276686139</c:v>
                </c:pt>
                <c:pt idx="14">
                  <c:v>25.043320405974001</c:v>
                </c:pt>
                <c:pt idx="15">
                  <c:v>22.991383754326499</c:v>
                </c:pt>
                <c:pt idx="16">
                  <c:v>20.562163800287898</c:v>
                </c:pt>
                <c:pt idx="17">
                  <c:v>17.885201218534501</c:v>
                </c:pt>
                <c:pt idx="18">
                  <c:v>25.368403015764201</c:v>
                </c:pt>
                <c:pt idx="19">
                  <c:v>22.054289796225198</c:v>
                </c:pt>
                <c:pt idx="20">
                  <c:v>19.460193244430197</c:v>
                </c:pt>
                <c:pt idx="21">
                  <c:v>20.628320628320552</c:v>
                </c:pt>
                <c:pt idx="22">
                  <c:v>25.780696671173697</c:v>
                </c:pt>
                <c:pt idx="23">
                  <c:v>23.943661971830903</c:v>
                </c:pt>
                <c:pt idx="24">
                  <c:v>21.3691756272401</c:v>
                </c:pt>
                <c:pt idx="25">
                  <c:v>19.6550890482714</c:v>
                </c:pt>
                <c:pt idx="26">
                  <c:v>27.246986489766201</c:v>
                </c:pt>
                <c:pt idx="27">
                  <c:v>22.534299999999998</c:v>
                </c:pt>
                <c:pt idx="28">
                  <c:v>13.712284</c:v>
                </c:pt>
                <c:pt idx="29">
                  <c:v>16.064614601882479</c:v>
                </c:pt>
                <c:pt idx="30">
                  <c:v>15.711678832116791</c:v>
                </c:pt>
                <c:pt idx="31">
                  <c:v>14.53087271472922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24-4E22-9F19-4EEB6971D0C1}"/>
            </c:ext>
          </c:extLst>
        </c:ser>
        <c:ser>
          <c:idx val="2"/>
          <c:order val="2"/>
          <c:tx>
            <c:strRef>
              <c:f>шкалы!$B$104:$E$104</c:f>
              <c:strCache>
                <c:ptCount val="4"/>
                <c:pt idx="0">
                  <c:v>По сокращению штата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шкалы!$F$104:$AK$104</c:f>
              <c:numCache>
                <c:formatCode>0</c:formatCode>
                <c:ptCount val="32"/>
                <c:pt idx="0">
                  <c:v>12.246826897110399</c:v>
                </c:pt>
                <c:pt idx="1">
                  <c:v>20.486714675937399</c:v>
                </c:pt>
                <c:pt idx="2">
                  <c:v>14.349153483208399</c:v>
                </c:pt>
                <c:pt idx="3">
                  <c:v>14.395204873734798</c:v>
                </c:pt>
                <c:pt idx="4">
                  <c:v>15.9543626671654</c:v>
                </c:pt>
                <c:pt idx="5">
                  <c:v>16.862726718845099</c:v>
                </c:pt>
                <c:pt idx="6">
                  <c:v>12.633404482390601</c:v>
                </c:pt>
                <c:pt idx="7">
                  <c:v>12.205401685876401</c:v>
                </c:pt>
                <c:pt idx="8">
                  <c:v>13.1557173589276</c:v>
                </c:pt>
                <c:pt idx="9">
                  <c:v>13.0210432959767</c:v>
                </c:pt>
                <c:pt idx="10">
                  <c:v>10.1050047729442</c:v>
                </c:pt>
                <c:pt idx="11">
                  <c:v>9.9244741277073807</c:v>
                </c:pt>
                <c:pt idx="12">
                  <c:v>12.436410866976901</c:v>
                </c:pt>
                <c:pt idx="13">
                  <c:v>11.637015400955899</c:v>
                </c:pt>
                <c:pt idx="14">
                  <c:v>10.6526941166762</c:v>
                </c:pt>
                <c:pt idx="15">
                  <c:v>10.5677884969438</c:v>
                </c:pt>
                <c:pt idx="16">
                  <c:v>12.834305629214299</c:v>
                </c:pt>
                <c:pt idx="17">
                  <c:v>12.762546095879401</c:v>
                </c:pt>
                <c:pt idx="18">
                  <c:v>9.6384509938313911</c:v>
                </c:pt>
                <c:pt idx="19">
                  <c:v>10.1812166328295</c:v>
                </c:pt>
                <c:pt idx="20">
                  <c:v>12.097740158109</c:v>
                </c:pt>
                <c:pt idx="21">
                  <c:v>19.9122199122199</c:v>
                </c:pt>
                <c:pt idx="22">
                  <c:v>19.644581804133601</c:v>
                </c:pt>
                <c:pt idx="23">
                  <c:v>13.3084219603334</c:v>
                </c:pt>
                <c:pt idx="24">
                  <c:v>12.9390681003584</c:v>
                </c:pt>
                <c:pt idx="25">
                  <c:v>11.282133935047101</c:v>
                </c:pt>
                <c:pt idx="26">
                  <c:v>7.4508534908178898</c:v>
                </c:pt>
                <c:pt idx="27">
                  <c:v>8.4088999999999992</c:v>
                </c:pt>
                <c:pt idx="28">
                  <c:v>8.6880389999999998</c:v>
                </c:pt>
                <c:pt idx="29">
                  <c:v>11.52378529636225</c:v>
                </c:pt>
                <c:pt idx="30">
                  <c:v>13.448905109489051</c:v>
                </c:pt>
                <c:pt idx="31">
                  <c:v>13.392549154880991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24-4E22-9F19-4EEB6971D0C1}"/>
            </c:ext>
          </c:extLst>
        </c:ser>
        <c:ser>
          <c:idx val="3"/>
          <c:order val="3"/>
          <c:tx>
            <c:strRef>
              <c:f>шкалы!$B$105:$E$105</c:f>
              <c:strCache>
                <c:ptCount val="4"/>
                <c:pt idx="0">
                  <c:v>Реорганизация компании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шкалы!$F$105:$AK$105</c:f>
              <c:numCache>
                <c:formatCode>0</c:formatCode>
                <c:ptCount val="32"/>
                <c:pt idx="0">
                  <c:v>7.9530110721036991</c:v>
                </c:pt>
                <c:pt idx="1">
                  <c:v>8.8817150898104398</c:v>
                </c:pt>
                <c:pt idx="2">
                  <c:v>7.9933388842631095</c:v>
                </c:pt>
                <c:pt idx="3">
                  <c:v>7.84121057286037</c:v>
                </c:pt>
                <c:pt idx="4">
                  <c:v>8.8188534555316505</c:v>
                </c:pt>
                <c:pt idx="5">
                  <c:v>8.2720157472934304</c:v>
                </c:pt>
                <c:pt idx="6">
                  <c:v>7.3239060832443901</c:v>
                </c:pt>
                <c:pt idx="7">
                  <c:v>7.8358850851539597</c:v>
                </c:pt>
                <c:pt idx="8">
                  <c:v>8.3319543273208598</c:v>
                </c:pt>
                <c:pt idx="9">
                  <c:v>8.70757074901233</c:v>
                </c:pt>
                <c:pt idx="10">
                  <c:v>7.4321560070912298</c:v>
                </c:pt>
                <c:pt idx="11">
                  <c:v>7.9832719555583296</c:v>
                </c:pt>
                <c:pt idx="12">
                  <c:v>8.5940036800519497</c:v>
                </c:pt>
                <c:pt idx="13">
                  <c:v>9.3335103558151804</c:v>
                </c:pt>
                <c:pt idx="14">
                  <c:v>8.5898176417196108</c:v>
                </c:pt>
                <c:pt idx="15">
                  <c:v>8.8371750497091099</c:v>
                </c:pt>
                <c:pt idx="16">
                  <c:v>9.2203954845063993</c:v>
                </c:pt>
                <c:pt idx="17">
                  <c:v>9.5238095238095202</c:v>
                </c:pt>
                <c:pt idx="18">
                  <c:v>7.9163810829335102</c:v>
                </c:pt>
                <c:pt idx="19">
                  <c:v>8.4668020151891099</c:v>
                </c:pt>
                <c:pt idx="20">
                  <c:v>9.2709414676994299</c:v>
                </c:pt>
                <c:pt idx="21">
                  <c:v>8.2698082698082693</c:v>
                </c:pt>
                <c:pt idx="22">
                  <c:v>7.8488184920481601</c:v>
                </c:pt>
                <c:pt idx="23">
                  <c:v>6.1655648174762803</c:v>
                </c:pt>
                <c:pt idx="24">
                  <c:v>6.9103942652329708</c:v>
                </c:pt>
                <c:pt idx="25">
                  <c:v>7.14803771456201</c:v>
                </c:pt>
                <c:pt idx="26">
                  <c:v>5.59825256856241</c:v>
                </c:pt>
                <c:pt idx="27">
                  <c:v>6.3716999999999997</c:v>
                </c:pt>
                <c:pt idx="28">
                  <c:v>6.7349139999999998</c:v>
                </c:pt>
                <c:pt idx="29">
                  <c:v>7.2500635970490972</c:v>
                </c:pt>
                <c:pt idx="30">
                  <c:v>6.6423357664233578</c:v>
                </c:pt>
                <c:pt idx="31">
                  <c:v>7.7268023456364254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24-4E22-9F19-4EEB6971D0C1}"/>
            </c:ext>
          </c:extLst>
        </c:ser>
        <c:ser>
          <c:idx val="4"/>
          <c:order val="4"/>
          <c:tx>
            <c:strRef>
              <c:f>шкалы!$B$106:$E$106</c:f>
              <c:strCache>
                <c:ptCount val="4"/>
                <c:pt idx="0">
                  <c:v>Невыполнение плана, рабочих задач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шкалы!$F$106:$AK$106</c:f>
              <c:numCache>
                <c:formatCode>0</c:formatCode>
                <c:ptCount val="32"/>
                <c:pt idx="0">
                  <c:v>0.72913853632190095</c:v>
                </c:pt>
                <c:pt idx="1">
                  <c:v>0.678751758960351</c:v>
                </c:pt>
                <c:pt idx="2">
                  <c:v>0.64760847441946501</c:v>
                </c:pt>
                <c:pt idx="3">
                  <c:v>0.73695588090792896</c:v>
                </c:pt>
                <c:pt idx="4">
                  <c:v>0.93519124660993103</c:v>
                </c:pt>
                <c:pt idx="5">
                  <c:v>0.75455781037634095</c:v>
                </c:pt>
                <c:pt idx="6">
                  <c:v>0.760405549626467</c:v>
                </c:pt>
                <c:pt idx="7">
                  <c:v>0.74832272492688801</c:v>
                </c:pt>
                <c:pt idx="8">
                  <c:v>0.95978818467648497</c:v>
                </c:pt>
                <c:pt idx="9">
                  <c:v>0.91106990244295694</c:v>
                </c:pt>
                <c:pt idx="10">
                  <c:v>0.66139369971362305</c:v>
                </c:pt>
                <c:pt idx="11">
                  <c:v>0.73029149241620295</c:v>
                </c:pt>
                <c:pt idx="12">
                  <c:v>0.89836562398527897</c:v>
                </c:pt>
                <c:pt idx="13">
                  <c:v>0.92936802973977695</c:v>
                </c:pt>
                <c:pt idx="14">
                  <c:v>0.709629507385097</c:v>
                </c:pt>
                <c:pt idx="15">
                  <c:v>0.83216731718094106</c:v>
                </c:pt>
                <c:pt idx="16">
                  <c:v>0.70459883324494199</c:v>
                </c:pt>
                <c:pt idx="17">
                  <c:v>0.98605098605098596</c:v>
                </c:pt>
                <c:pt idx="18">
                  <c:v>0.90815627141878008</c:v>
                </c:pt>
                <c:pt idx="19">
                  <c:v>0.65418452515226699</c:v>
                </c:pt>
                <c:pt idx="20">
                  <c:v>0.758604168330272</c:v>
                </c:pt>
                <c:pt idx="21">
                  <c:v>0.92400092400092404</c:v>
                </c:pt>
                <c:pt idx="22">
                  <c:v>0.66962848496555194</c:v>
                </c:pt>
                <c:pt idx="23">
                  <c:v>0.76889910893934998</c:v>
                </c:pt>
                <c:pt idx="24">
                  <c:v>0.91756272401433692</c:v>
                </c:pt>
                <c:pt idx="25">
                  <c:v>0.82198404383914903</c:v>
                </c:pt>
                <c:pt idx="26">
                  <c:v>0.66337674945392699</c:v>
                </c:pt>
                <c:pt idx="27">
                  <c:v>0.70899999999999996</c:v>
                </c:pt>
                <c:pt idx="28">
                  <c:v>0.88900900000000005</c:v>
                </c:pt>
                <c:pt idx="29">
                  <c:v>0.91579750699567541</c:v>
                </c:pt>
                <c:pt idx="30">
                  <c:v>0.91240875912408748</c:v>
                </c:pt>
                <c:pt idx="31">
                  <c:v>0.83649534322180052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24-4E22-9F19-4EEB6971D0C1}"/>
            </c:ext>
          </c:extLst>
        </c:ser>
        <c:ser>
          <c:idx val="5"/>
          <c:order val="5"/>
          <c:tx>
            <c:strRef>
              <c:f>шкалы!$B$107:$E$107</c:f>
              <c:strCache>
                <c:ptCount val="4"/>
                <c:pt idx="0">
                  <c:v>Нарушение трудовой дисциплины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шкалы!$F$101:$AK$101</c:f>
              <c:strCache>
                <c:ptCount val="3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  <c:pt idx="12">
                  <c:v>1 кв. 2018</c:v>
                </c:pt>
                <c:pt idx="13">
                  <c:v>2 кв. 2018</c:v>
                </c:pt>
                <c:pt idx="14">
                  <c:v>3 кв. 2018</c:v>
                </c:pt>
                <c:pt idx="15">
                  <c:v>4 кв. 2018</c:v>
                </c:pt>
                <c:pt idx="16">
                  <c:v>1 кв. 2019</c:v>
                </c:pt>
                <c:pt idx="17">
                  <c:v>2 кв. 2019</c:v>
                </c:pt>
                <c:pt idx="18">
                  <c:v>3 кв. 2019</c:v>
                </c:pt>
                <c:pt idx="19">
                  <c:v>4 кв. 2019</c:v>
                </c:pt>
                <c:pt idx="20">
                  <c:v>1 кв. 2020</c:v>
                </c:pt>
                <c:pt idx="21">
                  <c:v>2 кв. 2020</c:v>
                </c:pt>
                <c:pt idx="22">
                  <c:v>3 кв. 2020</c:v>
                </c:pt>
                <c:pt idx="23">
                  <c:v>4 кв. 2020</c:v>
                </c:pt>
                <c:pt idx="24">
                  <c:v>1 кв. 2021</c:v>
                </c:pt>
                <c:pt idx="25">
                  <c:v>2 кв. 2021</c:v>
                </c:pt>
                <c:pt idx="26">
                  <c:v>3 кв. 2021</c:v>
                </c:pt>
                <c:pt idx="27">
                  <c:v>4 кв. 2021</c:v>
                </c:pt>
                <c:pt idx="28">
                  <c:v>1 кв. 2022</c:v>
                </c:pt>
                <c:pt idx="29">
                  <c:v>2 кв. 2022</c:v>
                </c:pt>
                <c:pt idx="30">
                  <c:v>3 кв. 2022</c:v>
                </c:pt>
                <c:pt idx="31">
                  <c:v>4 кв. 2022</c:v>
                </c:pt>
              </c:strCache>
            </c:strRef>
          </c:cat>
          <c:val>
            <c:numRef>
              <c:f>шкалы!$F$107:$AK$107</c:f>
              <c:numCache>
                <c:formatCode>0.0</c:formatCode>
                <c:ptCount val="32"/>
                <c:pt idx="0">
                  <c:v>0.43208209559816302</c:v>
                </c:pt>
                <c:pt idx="1">
                  <c:v>0.47181524708219497</c:v>
                </c:pt>
                <c:pt idx="2">
                  <c:v>0.37006198538255097</c:v>
                </c:pt>
                <c:pt idx="3">
                  <c:v>0.47165176378107398</c:v>
                </c:pt>
                <c:pt idx="4">
                  <c:v>0.62657813522865402</c:v>
                </c:pt>
                <c:pt idx="5">
                  <c:v>0.54834325350330404</c:v>
                </c:pt>
                <c:pt idx="6">
                  <c:v>0.426894343649946</c:v>
                </c:pt>
                <c:pt idx="7">
                  <c:v>0.46447617409255099</c:v>
                </c:pt>
                <c:pt idx="8">
                  <c:v>0.59573059738540401</c:v>
                </c:pt>
                <c:pt idx="9">
                  <c:v>0.58856728210916698</c:v>
                </c:pt>
                <c:pt idx="10">
                  <c:v>0.64775671621437303</c:v>
                </c:pt>
                <c:pt idx="11">
                  <c:v>0.68659883902378094</c:v>
                </c:pt>
                <c:pt idx="12">
                  <c:v>0.76848143738499808</c:v>
                </c:pt>
                <c:pt idx="13">
                  <c:v>0.69038767923526201</c:v>
                </c:pt>
                <c:pt idx="14">
                  <c:v>0.56110240118821597</c:v>
                </c:pt>
                <c:pt idx="15">
                  <c:v>0.62596656602106104</c:v>
                </c:pt>
                <c:pt idx="16">
                  <c:v>0.57580119706038302</c:v>
                </c:pt>
                <c:pt idx="17">
                  <c:v>0.72951739618406197</c:v>
                </c:pt>
                <c:pt idx="18">
                  <c:v>0.63399588759424197</c:v>
                </c:pt>
                <c:pt idx="19">
                  <c:v>0.54891345213925802</c:v>
                </c:pt>
                <c:pt idx="20">
                  <c:v>0.67076579094466093</c:v>
                </c:pt>
                <c:pt idx="21">
                  <c:v>0.515900515900515</c:v>
                </c:pt>
                <c:pt idx="22">
                  <c:v>0.43139527396819199</c:v>
                </c:pt>
                <c:pt idx="23">
                  <c:v>0.337740730094854</c:v>
                </c:pt>
                <c:pt idx="24">
                  <c:v>0.48028673835125402</c:v>
                </c:pt>
                <c:pt idx="25">
                  <c:v>0.46740269159480996</c:v>
                </c:pt>
                <c:pt idx="26">
                  <c:v>0.40449801795971202</c:v>
                </c:pt>
                <c:pt idx="27">
                  <c:v>0.41279999999999994</c:v>
                </c:pt>
                <c:pt idx="28" formatCode="0">
                  <c:v>0.52532299999999998</c:v>
                </c:pt>
                <c:pt idx="29">
                  <c:v>0.45789875349783771</c:v>
                </c:pt>
                <c:pt idx="30">
                  <c:v>0.43795620437956212</c:v>
                </c:pt>
                <c:pt idx="31">
                  <c:v>0.33632286995515698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24-4E22-9F19-4EEB6971D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393654928"/>
        <c:axId val="1393661584"/>
      </c:barChart>
      <c:catAx>
        <c:axId val="13936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 Cn Rg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1393661584"/>
        <c:crosses val="autoZero"/>
        <c:auto val="1"/>
        <c:lblAlgn val="ctr"/>
        <c:lblOffset val="100"/>
        <c:noMultiLvlLbl val="0"/>
      </c:catAx>
      <c:valAx>
        <c:axId val="1393661584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3936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roxima Nova Cn Rg" panose="02000506030000020004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DB8B-0135-42D4-9A77-BFAAAD71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Илюшина</cp:lastModifiedBy>
  <cp:revision>116</cp:revision>
  <dcterms:created xsi:type="dcterms:W3CDTF">2022-08-30T14:53:00Z</dcterms:created>
  <dcterms:modified xsi:type="dcterms:W3CDTF">2022-12-19T21:22:00Z</dcterms:modified>
</cp:coreProperties>
</file>